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  <w:gridCol w:w="196"/>
        <w:gridCol w:w="2885"/>
        <w:gridCol w:w="224"/>
        <w:gridCol w:w="348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7D2726AA" w14:textId="330C18C4" w:rsidR="00D11AA9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557B7AE9" w:rsidR="00153A22" w:rsidRPr="00787B48" w:rsidRDefault="00D11AA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B48">
              <w:rPr>
                <w:rFonts w:ascii="Times New Roman" w:hAnsi="Times New Roman"/>
                <w:b/>
                <w:i/>
                <w:sz w:val="24"/>
                <w:szCs w:val="24"/>
              </w:rPr>
              <w:t>Biblioteka i Centrum Kultury Gminy Wejherowo</w:t>
            </w:r>
          </w:p>
          <w:p w14:paraId="4D0003DD" w14:textId="71135F9A" w:rsidR="00D11AA9" w:rsidRPr="00787B48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</w:t>
            </w:r>
            <w:r w:rsidR="00D11AA9" w:rsidRPr="00787B48">
              <w:rPr>
                <w:rFonts w:ascii="Times New Roman" w:hAnsi="Times New Roman"/>
                <w:b/>
                <w:i/>
                <w:sz w:val="24"/>
                <w:szCs w:val="24"/>
              </w:rPr>
              <w:t>l. Drzewiarza 2</w:t>
            </w:r>
          </w:p>
          <w:p w14:paraId="56944402" w14:textId="620348C8" w:rsidR="00153A22" w:rsidRPr="00D11AA9" w:rsidRDefault="00D11AA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87B48">
              <w:rPr>
                <w:rFonts w:ascii="Times New Roman" w:hAnsi="Times New Roman"/>
                <w:b/>
                <w:i/>
                <w:sz w:val="24"/>
                <w:szCs w:val="24"/>
              </w:rPr>
              <w:t>84-241 Gościcino</w:t>
            </w:r>
            <w:r w:rsidRPr="00D11A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2650FEAE" w:rsidR="00945AC5" w:rsidRPr="00847E8E" w:rsidRDefault="00945AC5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3"/>
        <w:gridCol w:w="342"/>
        <w:gridCol w:w="364"/>
        <w:gridCol w:w="342"/>
        <w:gridCol w:w="353"/>
        <w:gridCol w:w="364"/>
        <w:gridCol w:w="399"/>
        <w:gridCol w:w="364"/>
        <w:gridCol w:w="364"/>
        <w:gridCol w:w="342"/>
        <w:gridCol w:w="342"/>
        <w:gridCol w:w="364"/>
        <w:gridCol w:w="353"/>
        <w:gridCol w:w="364"/>
        <w:gridCol w:w="406"/>
        <w:gridCol w:w="353"/>
        <w:gridCol w:w="353"/>
        <w:gridCol w:w="364"/>
        <w:gridCol w:w="364"/>
        <w:gridCol w:w="410"/>
        <w:gridCol w:w="267"/>
        <w:gridCol w:w="331"/>
        <w:gridCol w:w="34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87B48" w:rsidRPr="00847E8E" w14:paraId="363E7E78" w14:textId="77777777" w:rsidTr="00B25795">
        <w:tc>
          <w:tcPr>
            <w:tcW w:w="143" w:type="pct"/>
          </w:tcPr>
          <w:p w14:paraId="73DBA040" w14:textId="0CAF4FFF" w:rsidR="00F84D18" w:rsidRPr="00847E8E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14:paraId="4B9FAF82" w14:textId="4CACA31C" w:rsidR="00F84D18" w:rsidRPr="00847E8E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481CFC99" w14:textId="15FA4B08" w:rsidR="00F84D18" w:rsidRPr="00847E8E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1B13426A" w14:textId="3E1D2DED" w:rsidR="00F84D18" w:rsidRPr="00847E8E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4CE7A543" w14:textId="0077A389" w:rsidR="00F84D18" w:rsidRPr="00847E8E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6DBBE37D" w14:textId="08C9685C" w:rsidR="00F84D18" w:rsidRPr="00847E8E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5C131EAE" w14:textId="31B53DA2" w:rsidR="00F84D18" w:rsidRPr="00847E8E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3" w:type="pct"/>
          </w:tcPr>
          <w:p w14:paraId="648CE52E" w14:textId="110A3547" w:rsidR="00F84D18" w:rsidRPr="00847E8E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0C410C1A" w14:textId="4FAA9037" w:rsidR="00F84D18" w:rsidRPr="00847E8E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3679F49F" w14:textId="5D6B5EA4" w:rsidR="00F84D18" w:rsidRPr="00847E8E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7FAA53EC" w14:textId="7B1A94D6" w:rsidR="00F84D18" w:rsidRPr="00847E8E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44626E9C" w14:textId="45CCDF16" w:rsidR="00F84D18" w:rsidRPr="00847E8E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0F3A237A" w14:textId="5F9726E2" w:rsidR="00F84D18" w:rsidRPr="00847E8E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446FB9C4" w14:textId="44BB886A" w:rsidR="00F84D18" w:rsidRPr="00847E8E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43" w:type="pct"/>
          </w:tcPr>
          <w:p w14:paraId="0D3661C2" w14:textId="696D1BF4" w:rsidR="00F84D18" w:rsidRPr="00847E8E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7A5102E0" w14:textId="19D64A7E" w:rsidR="00F84D18" w:rsidRPr="00847E8E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3" w:type="pct"/>
          </w:tcPr>
          <w:p w14:paraId="10E83C72" w14:textId="4CF477FF" w:rsidR="00F84D18" w:rsidRPr="00847E8E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14:paraId="386398A3" w14:textId="59AC62A1" w:rsidR="00F84D18" w:rsidRPr="00847E8E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5FE37A08" w14:textId="45509108" w:rsidR="00F84D18" w:rsidRPr="00847E8E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3" w:type="pct"/>
          </w:tcPr>
          <w:p w14:paraId="34CD766C" w14:textId="3ED8B1E1" w:rsidR="00F84D18" w:rsidRPr="00847E8E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4944EE31" w14:textId="1A2CD3A4" w:rsidR="00F84D18" w:rsidRPr="00847E8E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7472A949" w14:textId="44BFF852" w:rsidR="00F84D18" w:rsidRPr="00847E8E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6DD54D67" w14:textId="13A62F0B" w:rsidR="00F84D18" w:rsidRPr="00847E8E" w:rsidRDefault="00787B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290C196B" w:rsidR="00B71689" w:rsidRPr="00847E8E" w:rsidRDefault="005E2FF6" w:rsidP="00D11AA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D11AA9">
              <w:rPr>
                <w:rFonts w:ascii="Times New Roman" w:hAnsi="Times New Roman"/>
                <w:sz w:val="21"/>
                <w:szCs w:val="21"/>
              </w:rPr>
              <w:t>POMORSKIE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1C6220AD" w:rsidR="00B71689" w:rsidRPr="00847E8E" w:rsidRDefault="005E2FF6" w:rsidP="00D11AA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D11AA9">
              <w:rPr>
                <w:rFonts w:ascii="Times New Roman" w:hAnsi="Times New Roman"/>
                <w:sz w:val="21"/>
                <w:szCs w:val="21"/>
              </w:rPr>
              <w:t>WEJHEROWSKI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4E16A720" w:rsidR="00B71689" w:rsidRPr="00847E8E" w:rsidRDefault="005E2FF6" w:rsidP="00D11AA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D11AA9">
              <w:rPr>
                <w:rFonts w:ascii="Times New Roman" w:hAnsi="Times New Roman"/>
                <w:sz w:val="21"/>
                <w:szCs w:val="21"/>
              </w:rPr>
              <w:t>WEJHEROWO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335E5CC8" w:rsidR="00175C03" w:rsidRPr="00847E8E" w:rsidRDefault="00D11AA9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491"/>
        <w:gridCol w:w="2878"/>
        <w:gridCol w:w="491"/>
        <w:gridCol w:w="2701"/>
        <w:gridCol w:w="6"/>
        <w:gridCol w:w="75"/>
        <w:gridCol w:w="749"/>
        <w:gridCol w:w="499"/>
      </w:tblGrid>
      <w:tr w:rsidR="00AF05A4" w:rsidRPr="00847E8E" w14:paraId="4E896761" w14:textId="77777777" w:rsidTr="00D11AA9">
        <w:trPr>
          <w:trHeight w:val="260"/>
        </w:trPr>
        <w:tc>
          <w:tcPr>
            <w:tcW w:w="4420" w:type="pct"/>
            <w:gridSpan w:val="7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548965C" w14:textId="7CBD3C15" w:rsidR="00D11AA9" w:rsidRDefault="002B0C8B" w:rsidP="00DA7B89">
            <w:pPr>
              <w:spacing w:before="120" w:after="60" w:line="240" w:lineRule="auto"/>
              <w:rPr>
                <w:rFonts w:ascii="Times New Roman" w:hAnsi="Times New Roman"/>
                <w:bCs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="00D11AA9">
              <w:rPr>
                <w:rFonts w:ascii="Times New Roman" w:hAnsi="Times New Roman"/>
                <w:bCs/>
              </w:rPr>
              <w:t xml:space="preserve">:  </w:t>
            </w:r>
          </w:p>
          <w:p w14:paraId="56803CE3" w14:textId="33885839" w:rsidR="00D11AA9" w:rsidRPr="00787B48" w:rsidRDefault="00D11AA9" w:rsidP="00DA7B89">
            <w:pPr>
              <w:spacing w:before="12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B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628D5E15" w:rsidR="002B0C8B" w:rsidRPr="00847E8E" w:rsidRDefault="002B0C8B" w:rsidP="00D11AA9">
            <w:pPr>
              <w:spacing w:after="0" w:line="120" w:lineRule="auto"/>
              <w:rPr>
                <w:rFonts w:ascii="Times New Roman" w:hAnsi="Times New Roman"/>
              </w:rPr>
            </w:pPr>
          </w:p>
        </w:tc>
      </w:tr>
      <w:tr w:rsidR="00AF05A4" w:rsidRPr="00847E8E" w14:paraId="7B61E740" w14:textId="77777777" w:rsidTr="00DE2330">
        <w:tc>
          <w:tcPr>
            <w:tcW w:w="5000" w:type="pct"/>
            <w:gridSpan w:val="9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4D7310BF" w:rsidR="003B4E3E" w:rsidRPr="00847E8E" w:rsidRDefault="00D11AA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AF05A4" w:rsidRPr="00847E8E" w14:paraId="46CF1ACE" w14:textId="77777777" w:rsidTr="00D11AA9">
        <w:tc>
          <w:tcPr>
            <w:tcW w:w="4420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6E237D5D" w:rsidR="00A47546" w:rsidRPr="00847E8E" w:rsidRDefault="00A47546" w:rsidP="00D11AA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  <w:r w:rsidR="00D11AA9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D11AA9" w:rsidRPr="00787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60880D8C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</w:p>
        </w:tc>
      </w:tr>
      <w:tr w:rsidR="00AF05A4" w:rsidRPr="00847E8E" w14:paraId="5D37143B" w14:textId="77777777" w:rsidTr="00DE2330">
        <w:tc>
          <w:tcPr>
            <w:tcW w:w="5000" w:type="pct"/>
            <w:gridSpan w:val="9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58B73F13" w:rsidR="003B4E3E" w:rsidRPr="00847E8E" w:rsidRDefault="00D11AA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9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FA9BCD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3ABFDCC0" w:rsidR="00160AF4" w:rsidRPr="00847E8E" w:rsidRDefault="00D11AA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AF05A4" w:rsidRPr="00847E8E" w14:paraId="692B7863" w14:textId="77777777" w:rsidTr="00D11AA9">
        <w:tc>
          <w:tcPr>
            <w:tcW w:w="4383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2298AE" w14:textId="77777777" w:rsidR="00D11AA9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  <w:p w14:paraId="08C71BBD" w14:textId="77777777" w:rsidR="00D11AA9" w:rsidRDefault="00D11AA9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14:paraId="4CC59C17" w14:textId="6D48468A" w:rsidR="00D11AA9" w:rsidRPr="00847E8E" w:rsidRDefault="00D11AA9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3</w:t>
            </w:r>
          </w:p>
        </w:tc>
        <w:tc>
          <w:tcPr>
            <w:tcW w:w="617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02B6EACB" w:rsidR="00B72A94" w:rsidRPr="00847E8E" w:rsidRDefault="00B72A94" w:rsidP="00D11AA9">
            <w:pPr>
              <w:spacing w:after="0" w:line="12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F05A4" w:rsidRPr="00847E8E" w14:paraId="472C0A9F" w14:textId="77777777" w:rsidTr="00187F15">
        <w:tc>
          <w:tcPr>
            <w:tcW w:w="5000" w:type="pct"/>
            <w:gridSpan w:val="9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1A0EDB25" w:rsidR="00E1782F" w:rsidRPr="00847E8E" w:rsidRDefault="00D11AA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D11AA9">
        <w:tc>
          <w:tcPr>
            <w:tcW w:w="4383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7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696776E2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1"/>
        <w:gridCol w:w="616"/>
        <w:gridCol w:w="2622"/>
        <w:gridCol w:w="676"/>
        <w:gridCol w:w="2919"/>
        <w:gridCol w:w="626"/>
        <w:gridCol w:w="652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2D810F18" w:rsidR="004E1844" w:rsidRPr="00847E8E" w:rsidRDefault="00D11AA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1B0C6F85" w14:textId="77777777" w:rsidR="00D11AA9" w:rsidRPr="00847E8E" w:rsidRDefault="00D11AA9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14:paraId="0A24106C" w14:textId="6A657B03" w:rsidR="00F34B52" w:rsidRPr="00D11AA9" w:rsidRDefault="00D11AA9" w:rsidP="00F34B52">
            <w:pPr>
              <w:spacing w:before="20" w:after="20"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D11AA9">
              <w:rPr>
                <w:rFonts w:ascii="Times New Roman" w:hAnsi="Times New Roman"/>
                <w:sz w:val="24"/>
                <w:szCs w:val="24"/>
              </w:rPr>
              <w:t xml:space="preserve">3 budynki w pełno są dostosowane architektonicznie do potrzeb osób ze szczególnymi potrzebami. Czwarty budynek to wynajmowane w Szkole Podstawowej do, którego prowadzi bezpośrednio wejście z zewnątrz. Nie ma potrzeby wywieszania informacji o rozkładzie pomieszczeń. Do pomieszczenia prowadza trzy stopnie schodów i zastosowano rozwiązanie alternatywne, czyli pomoc pracownika biblioteki. 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3346D345" w:rsidR="00096325" w:rsidRPr="00787B48" w:rsidRDefault="00D11AA9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B4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5A0554A5" w:rsidR="00096325" w:rsidRPr="00787B48" w:rsidRDefault="00D11AA9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B4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C3F8A9E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587F3B2B" w:rsidR="00096325" w:rsidRPr="00787B48" w:rsidRDefault="00D11AA9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B4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3D89149C" w:rsidR="00096325" w:rsidRPr="00787B48" w:rsidRDefault="00D11AA9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B4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4EE87345" w:rsidR="00460B99" w:rsidRPr="00847E8E" w:rsidRDefault="00D11AA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www.bckgw.pl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7ED00DBE" w:rsidR="00460B99" w:rsidRPr="00847E8E" w:rsidRDefault="00D11AA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469B0CA9" w:rsidR="00460B99" w:rsidRPr="00847E8E" w:rsidRDefault="00D11AA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www.bckgw.naszbip.pl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BA01463" w:rsidR="00460B99" w:rsidRPr="00847E8E" w:rsidRDefault="00D11AA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C323848" w14:textId="77777777" w:rsidR="00B5169E" w:rsidRPr="00D11AA9" w:rsidRDefault="00D11AA9" w:rsidP="00D11AA9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D11AA9">
              <w:rPr>
                <w:rFonts w:ascii="Times New Roman" w:hAnsi="Times New Roman"/>
                <w:sz w:val="20"/>
                <w:szCs w:val="20"/>
              </w:rPr>
              <w:t>Częściowo zgodna : brak udostępniania treści dla osób słabosłyszących (zmiana kontrastu strony) dla osób niesłyszących (filmiki z nałożonym tekstem)</w:t>
            </w:r>
          </w:p>
          <w:p w14:paraId="454D7948" w14:textId="77777777" w:rsidR="00D11AA9" w:rsidRPr="00D11AA9" w:rsidRDefault="00D11AA9" w:rsidP="00D1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AA9">
              <w:rPr>
                <w:rFonts w:ascii="Times New Roman" w:hAnsi="Times New Roman"/>
                <w:sz w:val="20"/>
                <w:szCs w:val="20"/>
                <w:lang w:eastAsia="pl-PL"/>
              </w:rPr>
              <w:t>Strona internetowa jest częściowo zgodna z ustawą z dnia 4</w:t>
            </w:r>
          </w:p>
          <w:p w14:paraId="48329446" w14:textId="77777777" w:rsidR="00D11AA9" w:rsidRPr="00D11AA9" w:rsidRDefault="00D11AA9" w:rsidP="00D1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AA9">
              <w:rPr>
                <w:rFonts w:ascii="Times New Roman" w:hAnsi="Times New Roman"/>
                <w:sz w:val="20"/>
                <w:szCs w:val="20"/>
                <w:lang w:eastAsia="pl-PL"/>
              </w:rPr>
              <w:t>kwietnia 2019 r. o dostępności cyfrowej stron internetowych i</w:t>
            </w:r>
          </w:p>
          <w:p w14:paraId="576F2874" w14:textId="77777777" w:rsidR="00D11AA9" w:rsidRPr="00D11AA9" w:rsidRDefault="00D11AA9" w:rsidP="00D1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AA9">
              <w:rPr>
                <w:rFonts w:ascii="Times New Roman" w:hAnsi="Times New Roman"/>
                <w:sz w:val="20"/>
                <w:szCs w:val="20"/>
                <w:lang w:eastAsia="pl-PL"/>
              </w:rPr>
              <w:t>aplikacji mobilnych podmiotów publicznych.</w:t>
            </w:r>
          </w:p>
          <w:p w14:paraId="5E6FE0FA" w14:textId="77777777" w:rsidR="00D11AA9" w:rsidRPr="00D11AA9" w:rsidRDefault="00D11AA9" w:rsidP="00D1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AA9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• Niektóre linki są wyróżnione wyłącznie kolorem. Brak</w:t>
            </w:r>
          </w:p>
          <w:p w14:paraId="0516B3CF" w14:textId="77777777" w:rsidR="00D11AA9" w:rsidRPr="00D11AA9" w:rsidRDefault="00D11AA9" w:rsidP="00D1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AA9">
              <w:rPr>
                <w:rFonts w:ascii="Times New Roman" w:hAnsi="Times New Roman"/>
                <w:sz w:val="20"/>
                <w:szCs w:val="20"/>
                <w:lang w:eastAsia="pl-PL"/>
              </w:rPr>
              <w:t>dodatkowego zaznaczenia pozwalającego na ich</w:t>
            </w:r>
          </w:p>
          <w:p w14:paraId="52FCCFA2" w14:textId="77777777" w:rsidR="00D11AA9" w:rsidRPr="00D11AA9" w:rsidRDefault="00D11AA9" w:rsidP="00D1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AA9">
              <w:rPr>
                <w:rFonts w:ascii="Times New Roman" w:hAnsi="Times New Roman"/>
                <w:sz w:val="20"/>
                <w:szCs w:val="20"/>
                <w:lang w:eastAsia="pl-PL"/>
              </w:rPr>
              <w:t>rozpoznawanie przez osoby nie rozróżniające kolorów.</w:t>
            </w:r>
          </w:p>
          <w:p w14:paraId="47B665F9" w14:textId="77777777" w:rsidR="00D11AA9" w:rsidRPr="00D11AA9" w:rsidRDefault="00D11AA9" w:rsidP="00D1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AA9">
              <w:rPr>
                <w:rFonts w:ascii="Times New Roman" w:hAnsi="Times New Roman"/>
                <w:sz w:val="20"/>
                <w:szCs w:val="20"/>
                <w:lang w:eastAsia="pl-PL"/>
              </w:rPr>
              <w:t>• Serwis zawiera dokumenty PDF oraz JPG, które są</w:t>
            </w:r>
          </w:p>
          <w:p w14:paraId="3B72DF6B" w14:textId="77777777" w:rsidR="00D11AA9" w:rsidRPr="00D11AA9" w:rsidRDefault="00D11AA9" w:rsidP="00D1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AA9">
              <w:rPr>
                <w:rFonts w:ascii="Times New Roman" w:hAnsi="Times New Roman"/>
                <w:sz w:val="20"/>
                <w:szCs w:val="20"/>
                <w:lang w:eastAsia="pl-PL"/>
              </w:rPr>
              <w:t>skanami dokumentów i zdjęciami. Niedostępne są dokumenty</w:t>
            </w:r>
          </w:p>
          <w:p w14:paraId="40F1DD2B" w14:textId="77777777" w:rsidR="00D11AA9" w:rsidRPr="00D11AA9" w:rsidRDefault="00D11AA9" w:rsidP="00D1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AA9">
              <w:rPr>
                <w:rFonts w:ascii="Times New Roman" w:hAnsi="Times New Roman"/>
                <w:sz w:val="20"/>
                <w:szCs w:val="20"/>
                <w:lang w:eastAsia="pl-PL"/>
              </w:rPr>
              <w:t>od podmiotów zewnętrznych, ponieważ takie od nich</w:t>
            </w:r>
          </w:p>
          <w:p w14:paraId="19BE9789" w14:textId="77777777" w:rsidR="00D11AA9" w:rsidRPr="00D11AA9" w:rsidRDefault="00D11AA9" w:rsidP="00D1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AA9">
              <w:rPr>
                <w:rFonts w:ascii="Times New Roman" w:hAnsi="Times New Roman"/>
                <w:sz w:val="20"/>
                <w:szCs w:val="20"/>
                <w:lang w:eastAsia="pl-PL"/>
              </w:rPr>
              <w:t>uzyskaliście, oraz niedostępna jest część grafik, ponieważ</w:t>
            </w:r>
          </w:p>
          <w:p w14:paraId="3FC81F3D" w14:textId="77777777" w:rsidR="00D11AA9" w:rsidRPr="00D11AA9" w:rsidRDefault="00D11AA9" w:rsidP="00D1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AA9">
              <w:rPr>
                <w:rFonts w:ascii="Times New Roman" w:hAnsi="Times New Roman"/>
                <w:sz w:val="20"/>
                <w:szCs w:val="20"/>
                <w:lang w:eastAsia="pl-PL"/>
              </w:rPr>
              <w:t>posiada charakter wyłącznie dekoracyjny.</w:t>
            </w:r>
          </w:p>
          <w:p w14:paraId="7B633109" w14:textId="77777777" w:rsidR="00D11AA9" w:rsidRPr="00D11AA9" w:rsidRDefault="00D11AA9" w:rsidP="00D1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AA9">
              <w:rPr>
                <w:rFonts w:ascii="Times New Roman" w:hAnsi="Times New Roman"/>
                <w:sz w:val="20"/>
                <w:szCs w:val="20"/>
                <w:lang w:eastAsia="pl-PL"/>
              </w:rPr>
              <w:t>• Pliki PDF, JPG, DOC itp. - pliki posiadają alternatywną</w:t>
            </w:r>
          </w:p>
          <w:p w14:paraId="275D2A38" w14:textId="77777777" w:rsidR="00D11AA9" w:rsidRPr="00D11AA9" w:rsidRDefault="00D11AA9" w:rsidP="00D1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AA9">
              <w:rPr>
                <w:rFonts w:ascii="Times New Roman" w:hAnsi="Times New Roman"/>
                <w:sz w:val="20"/>
                <w:szCs w:val="20"/>
                <w:lang w:eastAsia="pl-PL"/>
              </w:rPr>
              <w:t>treść tekstową bezpośrednio pod danym plikiem. Odrębną</w:t>
            </w:r>
          </w:p>
          <w:p w14:paraId="3C297B3D" w14:textId="77777777" w:rsidR="00D11AA9" w:rsidRPr="00D11AA9" w:rsidRDefault="00D11AA9" w:rsidP="00D1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AA9">
              <w:rPr>
                <w:rFonts w:ascii="Times New Roman" w:hAnsi="Times New Roman"/>
                <w:sz w:val="20"/>
                <w:szCs w:val="20"/>
                <w:lang w:eastAsia="pl-PL"/>
              </w:rPr>
              <w:t>kwestią jest poprawne formatowanie plików tak, by były one</w:t>
            </w:r>
          </w:p>
          <w:p w14:paraId="1E69A549" w14:textId="77777777" w:rsidR="00D11AA9" w:rsidRPr="00D11AA9" w:rsidRDefault="00D11AA9" w:rsidP="00D1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AA9">
              <w:rPr>
                <w:rFonts w:ascii="Times New Roman" w:hAnsi="Times New Roman"/>
                <w:sz w:val="20"/>
                <w:szCs w:val="20"/>
                <w:lang w:eastAsia="pl-PL"/>
              </w:rPr>
              <w:t>dostępne (np. powinny posiadać strukturę znaczników, czyli</w:t>
            </w:r>
          </w:p>
          <w:p w14:paraId="55F697FE" w14:textId="77777777" w:rsidR="00D11AA9" w:rsidRPr="00D11AA9" w:rsidRDefault="00D11AA9" w:rsidP="00D1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AA9">
              <w:rPr>
                <w:rFonts w:ascii="Times New Roman" w:hAnsi="Times New Roman"/>
                <w:sz w:val="20"/>
                <w:szCs w:val="20"/>
                <w:lang w:eastAsia="pl-PL"/>
              </w:rPr>
              <w:t>tagowanie).</w:t>
            </w:r>
          </w:p>
          <w:p w14:paraId="7031C722" w14:textId="77777777" w:rsidR="00D11AA9" w:rsidRPr="00D11AA9" w:rsidRDefault="00D11AA9" w:rsidP="00D1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11AA9">
              <w:rPr>
                <w:rFonts w:ascii="Times New Roman" w:hAnsi="Times New Roman"/>
                <w:sz w:val="20"/>
                <w:szCs w:val="20"/>
                <w:lang w:eastAsia="pl-PL"/>
              </w:rPr>
              <w:t>• pliki cyfrowe (zdjęcia)na bieżąco mają uzupełniane teksty</w:t>
            </w:r>
          </w:p>
          <w:p w14:paraId="6B4C725C" w14:textId="40B157B7" w:rsidR="00D11AA9" w:rsidRPr="00847E8E" w:rsidRDefault="00D11AA9" w:rsidP="00D11AA9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D11AA9">
              <w:rPr>
                <w:rFonts w:ascii="Times New Roman" w:hAnsi="Times New Roman"/>
                <w:sz w:val="20"/>
                <w:szCs w:val="20"/>
                <w:lang w:eastAsia="pl-PL"/>
              </w:rPr>
              <w:t>alternatywne mówiące o treści zdjęcia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7E3785EF" w:rsidR="00DE4A0F" w:rsidRPr="00847E8E" w:rsidRDefault="00787B4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0E0B0789" w:rsidR="009A09A3" w:rsidRPr="00847E8E" w:rsidRDefault="00787B4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497EC7E5" w:rsidR="009A09A3" w:rsidRPr="00847E8E" w:rsidRDefault="00787B4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40D4506B" w:rsidR="009A09A3" w:rsidRPr="00847E8E" w:rsidRDefault="00787B4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10FB4410" w:rsidR="009A09A3" w:rsidRPr="00847E8E" w:rsidRDefault="00787B4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4264236C" w:rsidR="009A09A3" w:rsidRPr="00847E8E" w:rsidRDefault="00787B4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F2C0D4A" w:rsidR="009A09A3" w:rsidRPr="00847E8E" w:rsidRDefault="00787B4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04113FB8" w:rsidR="006F6156" w:rsidRPr="00847E8E" w:rsidRDefault="00787B48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33DFBC7C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5EA53D8F" w:rsidR="0097326B" w:rsidRPr="00847E8E" w:rsidRDefault="00787B48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bookmarkEnd w:id="4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5ED79C94" w:rsidR="00E00A9D" w:rsidRPr="00787B48" w:rsidRDefault="00787B48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B48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35039FF8" w:rsidR="003B20D3" w:rsidRPr="00847E8E" w:rsidRDefault="00787B48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572AE36F" w:rsidR="00E856AA" w:rsidRPr="00847E8E" w:rsidRDefault="00787B48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4D407ABF" w:rsidR="00E856AA" w:rsidRPr="00847E8E" w:rsidRDefault="00787B48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6AE209D1" w:rsidR="001B6639" w:rsidRPr="00847E8E" w:rsidRDefault="00787B48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787B48">
        <w:trPr>
          <w:cantSplit/>
          <w:trHeight w:val="207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787B48">
        <w:trPr>
          <w:cantSplit/>
          <w:trHeight w:val="496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4A993D83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D9954A" w14:textId="77777777" w:rsidR="00787B48" w:rsidRDefault="001B1B21" w:rsidP="00787B48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787B48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4A9E4F54" w14:textId="77777777" w:rsidR="00787B48" w:rsidRDefault="00787B48" w:rsidP="00787B48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</w:p>
          <w:p w14:paraId="4B5658CB" w14:textId="7D413BC1" w:rsidR="00F34B52" w:rsidRPr="00787B48" w:rsidRDefault="00787B48" w:rsidP="00787B48">
            <w:pPr>
              <w:spacing w:after="0" w:line="211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B48">
              <w:rPr>
                <w:rFonts w:ascii="Times New Roman" w:hAnsi="Times New Roman"/>
                <w:b/>
                <w:i/>
                <w:sz w:val="24"/>
                <w:szCs w:val="24"/>
              </w:rPr>
              <w:t>BRAK</w:t>
            </w:r>
          </w:p>
          <w:p w14:paraId="3DF4640D" w14:textId="2F14C856" w:rsidR="00787B48" w:rsidRPr="00787B48" w:rsidRDefault="00787B48" w:rsidP="00787B48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2004BDD7" w:rsidR="00695809" w:rsidRPr="00847E8E" w:rsidRDefault="00787B48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4BC027FD" w:rsidR="00F814A2" w:rsidRPr="00847E8E" w:rsidRDefault="00787B48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7FEED59" w:rsidR="007661D4" w:rsidRPr="00847E8E" w:rsidRDefault="00787B48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17D797B7" w:rsidR="007661D4" w:rsidRPr="00847E8E" w:rsidRDefault="00787B48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0"/>
        <w:gridCol w:w="300"/>
      </w:tblGrid>
      <w:tr w:rsidR="00FF3ED3" w:rsidRPr="00847E8E" w14:paraId="18AA6317" w14:textId="77777777" w:rsidTr="00FF3ED3">
        <w:tc>
          <w:tcPr>
            <w:tcW w:w="110" w:type="pct"/>
          </w:tcPr>
          <w:p w14:paraId="174BF54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D3ACAE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3879E7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4D645A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3B8B4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65A5085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1CFED95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0DA633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51D1902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8554E5F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BAC865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4AAFD7F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ECB999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3D05FB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BF4E73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D570CD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9532B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9C71B0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6659EA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3838FA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92BF67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77777777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77777777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4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infokiosk lub infomat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2D2F2" w14:textId="77777777" w:rsidR="00881A30" w:rsidRDefault="00881A30" w:rsidP="005840AE">
      <w:pPr>
        <w:spacing w:after="0" w:line="240" w:lineRule="auto"/>
      </w:pPr>
      <w:r>
        <w:separator/>
      </w:r>
    </w:p>
  </w:endnote>
  <w:endnote w:type="continuationSeparator" w:id="0">
    <w:p w14:paraId="3BCB8F37" w14:textId="77777777" w:rsidR="00881A30" w:rsidRDefault="00881A30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84EA5" w14:textId="77777777" w:rsidR="00881A30" w:rsidRDefault="00881A30" w:rsidP="005840AE">
      <w:pPr>
        <w:spacing w:after="0" w:line="240" w:lineRule="auto"/>
      </w:pPr>
      <w:r>
        <w:separator/>
      </w:r>
    </w:p>
  </w:footnote>
  <w:footnote w:type="continuationSeparator" w:id="0">
    <w:p w14:paraId="7B5129D6" w14:textId="77777777" w:rsidR="00881A30" w:rsidRDefault="00881A30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D11AA9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D11AA9" w:rsidRPr="00A32D2F" w:rsidRDefault="00D11AA9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D11AA9" w:rsidRPr="00D141F2" w:rsidRDefault="00D11AA9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787B48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1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D11AA9" w:rsidRPr="008F642B" w:rsidRDefault="00D11AA9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B48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1A3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AA9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26DD592-63A7-445E-BF8F-FC396CB2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4124</Words>
  <Characters>24744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Joanna Kierska</cp:lastModifiedBy>
  <cp:revision>2</cp:revision>
  <cp:lastPrinted>2018-01-10T11:08:00Z</cp:lastPrinted>
  <dcterms:created xsi:type="dcterms:W3CDTF">2021-02-19T11:58:00Z</dcterms:created>
  <dcterms:modified xsi:type="dcterms:W3CDTF">2021-02-19T11:58:00Z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